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20 416/162 vom 25. August 2020</w:t>
      </w:r>
    </w:p>
    <w:p>
      <w:r>
        <w:t>BL Gerichte, 2020-08-25, DE</w:t>
      </w:r>
    </w:p>
    <w:p>
      <w:r>
        <w:rPr>
          <w:b/>
        </w:rPr>
        <w:t xml:space="preserve">Quelle: </w:t>
      </w:r>
      <w:r>
        <w:t>https://mcp.opencaselaw.ch/entscheid/bl_gerichte_715 20 416_162</w:t>
      </w:r>
    </w:p>
    <w:p>
      <w:r>
        <w:t>FR: BL_GERICHTE 715 20 416/162 du 25 août 2020</w:t>
      </w:r>
    </w:p>
    <w:p>
      <w:r>
        <w:t>IT: BL_GERICHTE 715 20 416/162 del 25 agosto 2020</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ist demnach einzutreten.</w:t>
      </w:r>
    </w:p>
    <w:p>
      <w:r>
        <w:rPr>
          <w:b/>
        </w:rPr>
        <w:t>E. 2</w:t>
      </w:r>
    </w:p>
    <w:p>
      <w:r>
        <w:t>Zu prüfen ist, ob die Arbeitslosenkasse die Anspruchsberechtigung des Beschwerdeführers für die Zeit ab 22. Juni 2020 zu Recht verneinte. Massgebend ist dabei der Sachverhalt, wie er sich bis zum Einspracheentscheid vom 30. September 2020 entwickelt hat. Dieser Zeitpunkt bildet rechtsprechungsgemäss die zeitliche Grenze der richterlichen Überprüfungsbefugnis (BGE 129 V 4 E. 1.2 mit Hinweis). 3.1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Hinweisen). 3.2 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(BGE 122 V 270 E. 3; ARV 2014 S. 222 E. 4.3.1). Keine Prüfung des Einzelfalls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[OR]) vom 30. März 1911) sowie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Amtet ein Arbeitnehmer als Verwaltungsrat, so ist eine massgebliche Entscheidungsbefugnis im Sinne der betreffenden Regelung ex lege gegeben, und zwar selbst dann, wenn seine Kapitalbeteiligung klein ist und er nur über die kollektive Zeichnungsberechtigung verfügt (BGE 123 V 234 E. 7a). 3.3 Damit eine versicherte Person in arbeitgeberähnlicher Stellung Anspruch auf Arbeitslosenentschädigung hat, muss sie mit dem Ausscheiden aus dem Betrieb definitiv auch die arbeitgeberähnliche Stellung verlieren. Behält sie nach der Auflösung des Arbeitsverhältnisses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vom 25. Januar 2006, C 255/05, und vom 14. April 2003, C 92/02; Barbara Kupfer Bucher , Rechtsprechung des Bundesgerichts zum Sozialversicherungsrecht, Bundesgesetz über die obligatorische Arbeitslosenversicherung und die Insolvenzentschädigung, 5. Auflage, Zürich/Basel/Genf 2019, S. 267 ff. mit Hinweisen zur Rechtsprechung). Das geforderte Ausscheiden aus dem Betrieb muss anhand eindeutiger Kriterien gemessen werden können. Mit der Kündigung des Arbeitsverhältnisses ist noch nichts über die Beendigung der arbeitgeberähnlichen Stellung entschieden (ARV 2003 S. 242 E. 4; ARV 2007 S. 118 E. 4.2). Hingegen wird der Eintrag im Handelsregister von der Rechtsprechung regelmässig als wichtiges und einfach zu handhabendes Kriterium berücksichtigt, wenn es um die Beurteilung geht, ob eine arbeitgeberähnliche Person Anspruch auf Arbeitslosenentschädigung hat (ARV 2002 S. 185 E. 2b und c). Hintergrund bildet der Umstand, dass erst mit der Löschung des Eintrags nach aussen in verlässlicher Weise auch für Dritte kundgetan ist, dass die betroffene Person definitiv aus der Firma ausgetreten ist (Urteil des Eidgenössischen Versicherungsgerichts [EVG; seit 1. Januar 2007: Bundesgericht, sozialrechtliche Abteilungen] vom 8. Juni 2004, C 110/03, E. 2.1 mit zahlreichen weiteren Hinweisen). 3.4 Mit dem Konkurs eines Betriebes geht grundsätzlich die Beendigung der arbeitgeberähnlichen Stellung einher. Personen, welche jedoch gemäss Liquidationsbeschluss weiterhin für die Firma in Liquidation tätig sind, d. h. die gesetzlichen und statutarischen Befugnisse für die Liquidation beibehalten, haben in der Regel keinen Anspruch auf Arbeitslosenentschädigung. Für die Liquidation kann zum Beispiel auch die Weiterführung des Geschäfts bis zu dessen Verkauf oder Auflösung gehören. Der Zustand der Liquidation dauert bis zur Löschung der Firma im Handelsregister (AVIG-Praxis ALE, Arbeitsmarkt und Arbeitslosenversicherung [AVIG-Praxis], Randziffer B29). Eine beschlossene oder angeordnete Liquidation ist dabei jedoch kein taugliches Kriterium dafür, das Ausscheiden einer Person in arbeitgeberähnlicher Stellung zu belegen (Urteil des Bundesgerichts vom 28. Januar 2011, 8C_850/2010, E. 4.2).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ATSG; BGE 144 V 427 E. 3.2). Dies bedeutet, dass in Bezug auf den rechtserheblichen Sachverhalt Abklärungen vorzunehmen sind, wenn hierzu aufgrund der Parteivorbringen oder anderer sich aus den Akten ergebender Anhaltspunkte hinreichender Anlass besteht (Urteil des Bundesgerichts vom 2. Juni 2020, 9C_805/2019, E. 8.1 mit weiteren Hinweisen). Diese Untersuchungspflicht dauert so lange, bis über die für die Beurteilung des streitigen Anspruchs erforderlichen Tatsachen hinreichende Klarheit besteht (Urteil des Bundesgerichts vom 8. April 2020, 8C_641/2019, E. 3.3.1). 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 138 V 218 E. 6 mit weiteren Hinweisen).</w:t>
      </w:r>
    </w:p>
    <w:p>
      <w:r>
        <w:rPr>
          <w:b/>
        </w:rPr>
        <w:t>E. 5</w:t>
      </w:r>
    </w:p>
    <w:p>
      <w:r>
        <w:t>Den Handelsregisterauszügen ist zu entnehmen, dass der Beschwerdeführer bis zum 29. Oktober 2020 im Handelsregister als einzelzeichnungsberechtigtes Mitglied des Verwaltungsrats der B.____ AG eingetragen war. Folglich wurde seine arbeitgeberähnliche Stellung in der AG nicht mit der Auflösung des Arbeitsverhältnisses beendet, sondern bestand über den Zeitpunkt des Einspracheentscheids vom 30. September 2020 hinaus. Zwar war die Gesellschaft im Zeitpunkt des Einspracheentscheids in Liquidation. Dies allerdings nicht aufgrund einer Konkurseröffnung, sondern aufgrund eines Beschlusses der Generalversammlung vom 22. Juli 2020, wobei C.____ als Liquidator mit Einzelunterschrift eingesetzt wurde, der Beschwerdeführer hingegen nicht als Mitglied des Verwaltungsrats ausschied. Sein Einwand, er habe seit der Kündigung per 31. Mai 2020 keine Tätigkeit in seiner Funktion mehr ausgeübt, verfängt nicht, zumal er an der ausserordentlichen Generalversammlung vom 22. Juli 2020 den Vorsitz führte und das Protokoll der Generalversammlung bezüglich Liquidation vom 22. Juli 2020 in seiner Funktion als Mitglied des Verwaltungsrats unterzeichnete. Aufgrund seiner Stellung als Mitglied des Verwaltungsrats im hier zu beurteilenden Zeitraum vom 22. Juni 2020 bis 30. September 2020 verfügte der Beschwerdeführer somit von Gesetzes wegen über die für eine arbeitgeberähnliche Funktion typischen massgeblichen Einflussmöglichkeiten auf die Firmengeschicke, was gemäss Art. 31 Abs. 3 lit. c AVIG bereits genügt, um seinen Leistungsanspruch auszuschliessen. Konkrete Missbrauchsabsichten für einen Ausschluss des Leistungsanspruchs werden bei dieser Konstellation nicht vorausgesetzt. Entgegen der Auffassung des Beschwerdeführers ist deshalb nicht zu prüfen, ob er tatsächlich massgebenden Einfluss auf den Geschäftsgang der Gesellschaft nahm (vgl. E. 3.2 hiervor). Nichts an seiner arbeitgeberähnlichen Stellung ändert auch der Verweis des Beschwerdeführers auf ein Schreiben vom 27. Oktober 2020 an das Handelsregisteramt, wonach er darum ersucht, sein Ausscheiden als Mitglied des Verwaltungsrats auf den 31. Juli 2020 zu datieren. Denn der Wille allein, den Status als Verwaltungsratsmitglied auf ein bestimmtes Datum aufzugeben, genügt nicht, um die arbeitgeberähnliche Stellung zu beenden. Dem Beschwerdeführer wäre es ohne Weiteres möglich gewesen, das Ausscheiden aus dem Verwaltungsrat und die Löschung seiner Unterschrift aus dem Handelsregister bereits mit der Anmeldung der Liquidation vom 22. Juli 2020 und nicht erst am 27. Oktober 2020 zu beantragen. Jedenfalls ist sein Leistungsanspruch aufgrund des Wortlauts des Gesetzes solange ausgeschlossen, als er im Handelsregister als dessen Verwaltungsratsmitglied eingetragen ist. Der angefochtene Einspracheentscheid vom 30. September 2020 ist folglich nicht zu beanstanden. Die Ablehnung des Anspruchs auf Arbeitslosenentschädigung ab dem 22. Juni 2020 erweist sich als rechtens, was zur Abweisung der Beschwerde führt.</w:t>
      </w:r>
    </w:p>
    <w:p>
      <w:r>
        <w:rPr>
          <w:b/>
        </w:rPr>
        <w:t>E. 6</w:t>
      </w:r>
    </w:p>
    <w:p>
      <w:r>
        <w:t>Art. 61 lit. a ATSG in der bis 31. Dezember 2020 gültig gewesenen, hier anwendbaren Fassung hält fest, dass das Verfahren vor dem kantonalen Gericht für die Parteien kostenlos zu sein hat. Es sind deshalb für das vorliegende Verfahren keine Kosten zu erheben. Eine Parteientschädigung wird nicht ausgerichtet.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